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仿宋" w:hAnsi="华文仿宋" w:eastAsia="华文仿宋" w:cs="华文仿宋"/>
          <w:sz w:val="36"/>
          <w:szCs w:val="36"/>
        </w:rPr>
      </w:pPr>
      <w:r>
        <w:rPr>
          <w:rFonts w:hint="eastAsia" w:ascii="华文仿宋" w:hAnsi="华文仿宋" w:eastAsia="华文仿宋" w:cs="华文仿宋"/>
          <w:b/>
          <w:bCs/>
          <w:sz w:val="32"/>
          <w:szCs w:val="32"/>
        </w:rPr>
        <w:t>附件</w:t>
      </w:r>
      <w:r>
        <w:rPr>
          <w:rFonts w:hint="default" w:ascii="华文仿宋" w:hAnsi="华文仿宋" w:eastAsia="华文仿宋" w:cs="华文仿宋"/>
          <w:b/>
          <w:bCs/>
          <w:sz w:val="32"/>
          <w:szCs w:val="32"/>
          <w:lang w:val="en-US"/>
        </w:rPr>
        <w:t>1</w:t>
      </w:r>
      <w:r>
        <w:rPr>
          <w:rFonts w:hint="eastAsia" w:ascii="华文仿宋" w:hAnsi="华文仿宋" w:eastAsia="华文仿宋" w:cs="华文仿宋"/>
          <w:b/>
          <w:bCs/>
          <w:sz w:val="32"/>
          <w:szCs w:val="32"/>
        </w:rPr>
        <w:t>：</w:t>
      </w:r>
    </w:p>
    <w:p>
      <w:pPr>
        <w:spacing w:line="640" w:lineRule="exact"/>
        <w:jc w:val="center"/>
        <w:rPr>
          <w:rFonts w:hint="eastAsia" w:ascii="宋体" w:hAnsi="宋体" w:eastAsia="宋体" w:cs="宋体"/>
          <w:sz w:val="36"/>
          <w:szCs w:val="36"/>
        </w:rPr>
      </w:pPr>
      <w:r>
        <w:rPr>
          <w:rFonts w:hint="eastAsia" w:ascii="宋体" w:hAnsi="宋体"/>
          <w:b/>
          <w:sz w:val="44"/>
          <w:szCs w:val="44"/>
          <w:lang w:eastAsia="zh-CN"/>
        </w:rPr>
        <w:t>湖南交通工程</w:t>
      </w:r>
      <w:r>
        <w:rPr>
          <w:rFonts w:hint="eastAsia" w:ascii="宋体" w:hAnsi="宋体"/>
          <w:b/>
          <w:sz w:val="44"/>
          <w:szCs w:val="44"/>
        </w:rPr>
        <w:t>学院20</w:t>
      </w:r>
      <w:r>
        <w:rPr>
          <w:rFonts w:hint="eastAsia" w:ascii="宋体" w:hAnsi="宋体"/>
          <w:b/>
          <w:sz w:val="44"/>
          <w:szCs w:val="44"/>
          <w:lang w:val="en-US" w:eastAsia="zh-CN"/>
        </w:rPr>
        <w:t>21</w:t>
      </w:r>
      <w:r>
        <w:rPr>
          <w:rFonts w:hint="eastAsia" w:ascii="宋体" w:hAnsi="宋体"/>
          <w:b/>
          <w:sz w:val="44"/>
          <w:szCs w:val="44"/>
        </w:rPr>
        <w:t>年度</w:t>
      </w:r>
      <w:r>
        <w:rPr>
          <w:rFonts w:hint="eastAsia" w:ascii="宋体" w:hAnsi="宋体"/>
          <w:b/>
          <w:sz w:val="44"/>
          <w:szCs w:val="44"/>
          <w:lang w:eastAsia="zh-CN"/>
        </w:rPr>
        <w:t>校</w:t>
      </w:r>
      <w:bookmarkStart w:id="0" w:name="_GoBack"/>
      <w:bookmarkEnd w:id="0"/>
      <w:r>
        <w:rPr>
          <w:rFonts w:hint="eastAsia" w:ascii="宋体" w:hAnsi="宋体"/>
          <w:b/>
          <w:sz w:val="44"/>
          <w:szCs w:val="44"/>
          <w:lang w:eastAsia="zh-CN"/>
        </w:rPr>
        <w:t>级</w:t>
      </w:r>
      <w:r>
        <w:rPr>
          <w:rFonts w:hint="eastAsia" w:ascii="宋体" w:hAnsi="宋体" w:eastAsia="宋体" w:cs="宋体"/>
          <w:b/>
          <w:bCs/>
          <w:sz w:val="44"/>
          <w:szCs w:val="44"/>
        </w:rPr>
        <w:t>思政课程与课程思政专项课题选题指南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1.习近平新时代中国特色社会主义思想进教材、进课堂、进思想方法研究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2.习近平新时代中国特色社会主义思想融入专业课程的探索研究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3.习近平新时代中国特色社会主义思想的宣传教育研究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4.思政课程与课程思政同向同行协同育人相关问题研究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5.课程思政与思政课程协同育人的实践创新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6.应用型本科院校思政课程人才队伍建设研究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7.思想政治课教师教学能力提升研究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8.新时代应用型本科院校思想政治工作质量提升关键问题研究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9.现代本科教育中思想政治理论教学创新及实效性研究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10.“三全育人”（全员、全过程、全方位）的实现路径和保障机制研究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11.“互联网+思政教育”载体研究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12.基于现代教育技术融合的思政类课程教学模式改革与实践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13.教育信息化环境下应用型本科院校网络信息安全存在的问题及对策研究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14.新时代民办高校学生理想信念、价值观念、道德观念教育研究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15.应用型本科院校文明校园创建的长效机制研究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16.中华优秀传统文化融入应用型本科院校教育教学路径研究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17.社会主义核心价值观引领校园文化建设的研究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18.地方特色文化资源融入思政课堂的路径研究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19.课程思政教育技术手段研究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20.课程思政教育评价机制建设研究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21.思想政治理论课内容创新研究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22.思想政治理论课考核体系改革研究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23.思想政治理论课实践教学资源的开发与整合研究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24.抖音、微视频等自媒体融入课程思政和思政课堂的路径研究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25.思政课程融入专业课的教学设计理念与方法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26.构建思政课程、素质课程、课程思政三位一体的思政课教育课程体系研究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27.应用型本科院校专业课程隐性育人功能发挥的路径研究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28.专业课程中塑造爱国主义与人文情怀的路径研究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29.专业课程融入思政工作的教学设计理念与方法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30.专业课程中的“思政元素”融入思政教学方法研究</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000000" w:themeColor="text1"/>
          <w:sz w:val="28"/>
          <w:szCs w:val="28"/>
          <w14:textFill>
            <w14:solidFill>
              <w14:schemeClr w14:val="tx1"/>
            </w14:solidFill>
          </w14:textFill>
        </w:rPr>
      </w:pPr>
    </w:p>
    <w:sectPr>
      <w:pgSz w:w="11907" w:h="16840"/>
      <w:pgMar w:top="1440" w:right="1440" w:bottom="1440" w:left="1800" w:header="1021" w:footer="851" w:gutter="0"/>
      <w:cols w:space="425" w:num="1"/>
      <w:titlePg/>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drawingGridHorizontalSpacing w:val="105"/>
  <w:drawingGridVerticalSpacing w:val="2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7C"/>
    <w:rsid w:val="0052635D"/>
    <w:rsid w:val="0059392A"/>
    <w:rsid w:val="005F239C"/>
    <w:rsid w:val="00906B10"/>
    <w:rsid w:val="00A2427E"/>
    <w:rsid w:val="00AB2B7C"/>
    <w:rsid w:val="00B259E7"/>
    <w:rsid w:val="1E17698E"/>
    <w:rsid w:val="353426CF"/>
    <w:rsid w:val="3E8D472E"/>
    <w:rsid w:val="433E194A"/>
    <w:rsid w:val="75801115"/>
    <w:rsid w:val="7D88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117</Words>
  <Characters>673</Characters>
  <Lines>5</Lines>
  <Paragraphs>1</Paragraphs>
  <TotalTime>4</TotalTime>
  <ScaleCrop>false</ScaleCrop>
  <LinksUpToDate>false</LinksUpToDate>
  <CharactersWithSpaces>789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2021-01-14T02:36:00Z</dcterms:created>
  <dc:creator>吴兴强</dc:creator>
  <cp:lastModifiedBy>旺</cp:lastModifiedBy>
  <dcterms:modified xsi:type="dcterms:W3CDTF">2021-02-21T01:36:54Z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