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723" w:firstLineChars="200"/>
        <w:jc w:val="center"/>
        <w:textAlignment w:val="auto"/>
        <w:rPr>
          <w:rFonts w:hint="eastAsia" w:ascii="方正小标宋简体" w:hAnsi="方正小标宋简体" w:eastAsia="方正小标宋简体" w:cs="方正小标宋简体"/>
          <w:b/>
          <w:i w:val="0"/>
          <w:caps w:val="0"/>
          <w:color w:val="4B4B4B"/>
          <w:spacing w:val="0"/>
          <w:sz w:val="36"/>
          <w:szCs w:val="36"/>
          <w:bdr w:val="none" w:color="auto" w:sz="0" w:space="0"/>
          <w:shd w:val="clear" w:fill="FFFFFF"/>
        </w:rPr>
      </w:pPr>
      <w:r>
        <w:rPr>
          <w:rFonts w:hint="eastAsia" w:ascii="方正小标宋简体" w:hAnsi="方正小标宋简体" w:eastAsia="方正小标宋简体" w:cs="方正小标宋简体"/>
          <w:b/>
          <w:i w:val="0"/>
          <w:caps w:val="0"/>
          <w:color w:val="4B4B4B"/>
          <w:spacing w:val="0"/>
          <w:sz w:val="36"/>
          <w:szCs w:val="36"/>
          <w:bdr w:val="none" w:color="auto" w:sz="0" w:space="0"/>
          <w:shd w:val="clear" w:fill="FFFFFF"/>
        </w:rPr>
        <w:t>教育部等八部门关于加快构建高校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723" w:firstLineChars="200"/>
        <w:jc w:val="center"/>
        <w:textAlignment w:val="auto"/>
        <w:rPr>
          <w:rFonts w:hint="eastAsia" w:ascii="方正小标宋简体" w:hAnsi="方正小标宋简体" w:eastAsia="方正小标宋简体" w:cs="方正小标宋简体"/>
          <w:b/>
          <w:i w:val="0"/>
          <w:caps w:val="0"/>
          <w:color w:val="4B4B4B"/>
          <w:spacing w:val="0"/>
          <w:sz w:val="36"/>
          <w:szCs w:val="36"/>
          <w:bdr w:val="none" w:color="auto" w:sz="0" w:space="0"/>
          <w:shd w:val="clear" w:fill="FFFFFF"/>
        </w:rPr>
      </w:pPr>
      <w:r>
        <w:rPr>
          <w:rFonts w:hint="eastAsia" w:ascii="方正小标宋简体" w:hAnsi="方正小标宋简体" w:eastAsia="方正小标宋简体" w:cs="方正小标宋简体"/>
          <w:b/>
          <w:i w:val="0"/>
          <w:caps w:val="0"/>
          <w:color w:val="4B4B4B"/>
          <w:spacing w:val="0"/>
          <w:sz w:val="36"/>
          <w:szCs w:val="36"/>
          <w:bdr w:val="none" w:color="auto" w:sz="0" w:space="0"/>
          <w:shd w:val="clear" w:fill="FFFFFF"/>
        </w:rPr>
        <w:t>思想政治工作体系的意见</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r>
        <w:rPr>
          <w:rFonts w:hint="eastAsia" w:ascii="仿宋_GB2312" w:hAnsi="仿宋_GB2312" w:eastAsia="仿宋_GB2312" w:cs="仿宋_GB2312"/>
          <w:i w:val="0"/>
          <w:caps w:val="0"/>
          <w:color w:val="4B4B4B"/>
          <w:spacing w:val="0"/>
          <w:sz w:val="28"/>
          <w:szCs w:val="28"/>
          <w:bdr w:val="none" w:color="auto" w:sz="0" w:space="0"/>
          <w:shd w:val="clear" w:fill="FFFFFF"/>
        </w:rPr>
        <w:t>教思政〔2020〕1号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一、指导思想和目标任务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指导思想。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r>
        <w:rPr>
          <w:rFonts w:hint="eastAsia" w:ascii="仿宋_GB2312" w:hAnsi="仿宋_GB2312" w:eastAsia="仿宋_GB2312" w:cs="仿宋_GB2312"/>
          <w:i w:val="0"/>
          <w:caps w:val="0"/>
          <w:color w:val="4B4B4B"/>
          <w:spacing w:val="0"/>
          <w:sz w:val="28"/>
          <w:szCs w:val="28"/>
          <w:bdr w:val="none" w:color="auto" w:sz="0" w:space="0"/>
          <w:shd w:val="clear" w:fill="FFFFFF"/>
        </w:rPr>
        <w:t>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二、理论武装体系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面英雄模范人物进校园开展思想政治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思政课教师年度人物、高校辅导员年度人物、大学生年度人物等先进典型的宣传选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三、学科教学体系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8.全面推进所有学科课程思政建设。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医者仁心教育，教育引导学生尊重患者，学会沟通，提升综合素养。艺术学类专业课程要教育引导学生树立正确的艺术观和创作观，积极弘扬中华美育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r>
        <w:rPr>
          <w:rFonts w:hint="eastAsia" w:ascii="仿宋_GB2312" w:hAnsi="仿宋_GB2312" w:eastAsia="仿宋_GB2312" w:cs="仿宋_GB2312"/>
          <w:i w:val="0"/>
          <w:caps w:val="0"/>
          <w:color w:val="4B4B4B"/>
          <w:spacing w:val="0"/>
          <w:sz w:val="28"/>
          <w:szCs w:val="28"/>
          <w:bdr w:val="none" w:color="auto" w:sz="0" w:space="0"/>
          <w:shd w:val="clear" w:fill="FFFFFF"/>
        </w:rPr>
        <w:t>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四、日常教育体系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11.繁荣校园文化。坚持培育优良校风教风学风，持续开展文明校园创建活动。建设一批文化传承基地。发挥校园建筑景观、文物和校史校训校歌的文化价值。加强高校原创文化精品创作与推广。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12.加强网络育人。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五、管理服务体系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14.提高管理服务水平。健全管理服务育人制度体系，宣传推广一批管理服务育人的先进经验和典型做法，大力营造治理有方、管理到位、风清气正的制度育人环境。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15.加强群团组织建设。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16.推动“一站式”学生社区建设。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17.完善精准资助育人。精准认定家庭经济困难学生，健全四级资助认定工作机制，完善档案、动态管理。建设发展型资助体系，加大家庭经济困难学生能力素养培育力度。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六、安全稳定体系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18.强化高校政治安全。认真落实意识形态工作责任制，加强高校思想文化阵地管理，严格实行审批制度。坚决抵御境外利用宗教渗透，防范校园传教活动。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19.加强国家安全教育。持续推动国家安全教育进学校、进教材、进头脑，把集中教育活动与日常教育活动、课堂教育教学与社会实践相结合。建立健全国家安全教育长效机制，不断充实教育内容，完善教学体系。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20.筑牢校园安全防线。切实保护学生生命安全、财产安全、身体健康，严格落实安全防范工作规范要求，强化安全基础建设，完善校园及周边治安综合治理机制。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21.健全安全责任体系。落实高校安全管理主体责任，完善相应协调和会商机制，落实“一岗双责”。完善预警预防、综合研判、应急处置、督查报告、责任追究等工作制度。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七、队伍建设体系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22.建设高水平教师队伍。按照“四有”好老师要求，落实政治理论学习、培训轮训、实践锻炼等制度。完善教师评聘考核办法，把师德师风作为评价教师队伍素质第一标准。实施课程思政教师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八、评估督导体系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25.构建科学测评体系。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26.完善推进落实机制。明确责任分工，细化实施方案，及时研究解决重点问题。将高校思想政治工作纳入整体发展规划和年度工作计划，明确路线图、时间表、责任人。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27.健全督导问责机制。强化高校思想政治工作督导考核，对履职尽责不力、不及时的，加大追责力度。实行校、院系、基层党组织书记抓党建和思想政治工作述职评议考核制度，纳入党纪监督检查范围。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b/>
          <w:i w:val="0"/>
          <w:caps w:val="0"/>
          <w:color w:val="4B4B4B"/>
          <w:spacing w:val="0"/>
          <w:sz w:val="28"/>
          <w:szCs w:val="28"/>
          <w:bdr w:val="none" w:color="auto" w:sz="0" w:space="0"/>
          <w:shd w:val="clear" w:fill="FFFFFF"/>
        </w:rPr>
        <w:t>九、组织领导和实施保障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教育部 中共中央组织部 中共中央宣传部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中共中央政法委员会 中央网络安全和信息化委员会办公室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i w:val="0"/>
          <w:caps w:val="0"/>
          <w:color w:val="4B4B4B"/>
          <w:spacing w:val="0"/>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财政部 人力资源社会保障部 共青团中央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4B4B4B"/>
          <w:spacing w:val="0"/>
          <w:sz w:val="28"/>
          <w:szCs w:val="28"/>
          <w:bdr w:val="none" w:color="auto" w:sz="0" w:space="0"/>
          <w:shd w:val="clear" w:fill="FFFFFF"/>
        </w:rPr>
        <w:t>2020年4月22日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81E3C"/>
    <w:rsid w:val="0B5403DE"/>
    <w:rsid w:val="68F8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2021-05-17T07:25:00Z</dcterms:created>
  <dc:creator>微笑</dc:creator>
  <cp:lastModifiedBy>微笑</cp:lastModifiedBy>
  <dcterms:modified xsi:type="dcterms:W3CDTF">2021-05-17T07:28:15Z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